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N 230, Рособрнадзора N 515 от 13.04.2022</w:t>
              <w:br/>
      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году"</w:t>
              <w:br/>
              <w:t xml:space="preserve">(Зарегистрировано в Минюсте России 11.05.2022 N 68452)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мая 2022 г. N 68452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230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515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апреля 2022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ПРОВЕДЕНИЯ ГОСУДАРСТВЕННОЙ ИТОГОВОЙ АТТЕСТАЦИИ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Правительства РФ от 31.03.2022 N 538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&quot;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постановления Правительства Российской Федерации от 31 марта 2022 г. N 538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году" (официальный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4 апреля 2022 г.) и в соответствии с </w:t>
      </w:r>
      <w:hyperlink w:history="0" r:id="rId8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5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w:history="0" r:id="rId9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4.2.25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28.07.2018 N 884 (ред. от 26.03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4.2.26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w:history="0" r:id="rId12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3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подпунктами 5.2.7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5.2.8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43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2022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и 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13 апреля 2022 г. N 230/515</w:t>
      </w:r>
    </w:p>
    <w:p>
      <w:pPr>
        <w:pStyle w:val="0"/>
        <w:jc w:val="center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ПРОВЕДЕНИЯ ГОСУДАРСТВЕННОЙ ИТОГОВОЙ АТТЕСТАЦИИ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 В 2022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указанные в </w:t>
      </w:r>
      <w:hyperlink w:history="0" w:anchor="P49" w:tooltip="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настоящих Особенностей, вправе по своему выбору пройти ГИА-9 или ГИА-11 в формах, установленных соответственно </w:t>
      </w:r>
      <w:hyperlink w:history="0" r:id="rId15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w:history="0" r:id="rId1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ГИА-11), или в форме промежуточной аттестации в соответствии с </w:t>
      </w:r>
      <w:hyperlink w:history="0" w:anchor="P58" w:tooltip="9. На граждан, указанных в подпункте &quot;а&quot; пункта 1 настоящих Особенностей, принявших решение о прохождении соответственно ГИА-9, ГИА-11 в форме промежуточной аттестации, а также на граждан, указанных в подпункте &quot;б&quot; пункта 1 настоящих Особенностей, Порядок ГИА-9, Порядок ГИА-11 не распространяются в части организации и проведения ГИА-9, ГИА-11 соответственно.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60" w:tooltip="11. Граждане, указанные в пункте 9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..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указанные в </w:t>
      </w:r>
      <w:hyperlink w:history="0" w:anchor="P50" w:tooltip="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настоящих Особенностей, проходят ГИА-9 или ГИА-11 в форме промежуточной аттестации в соответствии с </w:t>
      </w:r>
      <w:hyperlink w:history="0" w:anchor="P58" w:tooltip="9. На граждан, указанных в подпункте &quot;а&quot; пункта 1 настоящих Особенностей, принявших решение о прохождении соответственно ГИА-9, ГИА-11 в форме промежуточной аттестации, а также на граждан, указанных в подпункте &quot;б&quot; пункта 1 настоящих Особенностей, Порядок ГИА-9, Порядок ГИА-11 не распространяются в части организации и проведения ГИА-9, ГИА-11 соответственно.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- </w:t>
      </w:r>
      <w:hyperlink w:history="0" w:anchor="P60" w:tooltip="11. Граждане, указанные в пункте 9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..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настоящих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Граждане, указанные в </w:t>
      </w:r>
      <w:hyperlink w:history="0" w:anchor="P49" w:tooltip="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настоящих Особенностей, вправе изменить выбранную форму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ГИА-9, ГИА-11 соответственно. Заявления подаются не позднее чем за две недели до начала соответствующего периода проведения экзаменов.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выбора гражданами, указанными в </w:t>
      </w:r>
      <w:hyperlink w:history="0" w:anchor="P49" w:tooltip="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настоящих Особенностей, прохождения ГИА-9, ГИА-11 в формах, установленных </w:t>
      </w:r>
      <w:hyperlink w:history="0" r:id="rId17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ГИА-9 или </w:t>
      </w:r>
      <w:hyperlink w:history="0" r:id="rId18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ГИА-11 соответственно, на указанных граждан </w:t>
      </w:r>
      <w:hyperlink w:history="0" r:id="rId19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ГИА-9, </w:t>
      </w:r>
      <w:hyperlink w:history="0" r:id="rId20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ГИА-11 не распространяются в части сроков подачи заявлений об участии в ГИА-9, ГИА-11 и условий повторного допуска участников ГИА-9, ГИА-11 к сдаче экзаменов в дополнительный период.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Граждане, указанные в </w:t>
      </w:r>
      <w:hyperlink w:history="0" w:anchor="P49" w:tooltip="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настоящих Особенностей, проходящие ГИА-9, ГИА-11 в формах, установленных </w:t>
      </w:r>
      <w:hyperlink w:history="0" r:id="rId21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ГИА-9 или </w:t>
      </w:r>
      <w:hyperlink w:history="0" r:id="rId22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ГИА-11 соответственно, подают заявления об участии соответственно в ГИА-9, ГИА-11 в случае если такие заявления не были поданы ранее в сроки, установленные соответственно </w:t>
      </w:r>
      <w:hyperlink w:history="0" r:id="rId23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ГИА-9, </w:t>
      </w:r>
      <w:hyperlink w:history="0" r:id="rId24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ГИА-11, не позднее чем за две недели до начала соответствующего периода проведения экзаменов.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Гражданам, указанным в </w:t>
      </w:r>
      <w:hyperlink w:history="0" w:anchor="P55" w:tooltip="6. Граждане, указанные в подпункте &quot;а&quot; пункта 1 настоящих Особенностей, проходящие ГИА-9, ГИА-11 в формах, установленных Порядком ГИА-9 или Порядком ГИА-11 соответственно, подают заявления об участии соответственно в ГИА-9, ГИА-11 в случае если такие заявления не были поданы ранее в сроки, установленные соответственно Порядком ГИА-9, Порядком ГИА-11, не позднее чем за две недели до начала соответствующего периода проведения экзаменов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Гражданам, указанным в </w:t>
      </w:r>
      <w:hyperlink w:history="0" w:anchor="P55" w:tooltip="6. Граждане, указанные в подпункте &quot;а&quot; пункта 1 настоящих Особенностей, проходящие ГИА-9, ГИА-11 в формах, установленных Порядком ГИА-9 или Порядком ГИА-11 соответственно, подают заявления об участии соответственно в ГИА-9, ГИА-11 в случае если такие заявления не были поданы ранее в сроки, установленные соответственно Порядком ГИА-9, Порядком ГИА-11, не позднее чем за две недели до начала соответствующего периода проведения экзаменов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граждан, указанных в </w:t>
      </w:r>
      <w:hyperlink w:history="0" w:anchor="P49" w:tooltip="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зачисленных в организации, осуществляющие образовательную деятельность;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настоящих Особенностей, принявших решение о прохождении соответственно ГИА-9, ГИА-11 в форме промежуточной аттестации, а также на граждан, указанных в </w:t>
      </w:r>
      <w:hyperlink w:history="0" w:anchor="P50" w:tooltip="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,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">
        <w:r>
          <w:rPr>
            <w:sz w:val="20"/>
            <w:color w:val="0000ff"/>
          </w:rPr>
          <w:t xml:space="preserve">подпункте "б" пункта 1</w:t>
        </w:r>
      </w:hyperlink>
      <w:r>
        <w:rPr>
          <w:sz w:val="20"/>
        </w:rPr>
        <w:t xml:space="preserve"> настоящих Особенностей, </w:t>
      </w:r>
      <w:hyperlink w:history="0" r:id="rId25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0.12.2018 N 5295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ГИА-9, </w:t>
      </w:r>
      <w:hyperlink w:history="0" r:id="rId26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0.12.2018 N 5295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ГИА-11 не распространяются в части организации и проведения ГИА-9, ГИА-11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Граждане, указанные в </w:t>
      </w:r>
      <w:hyperlink w:history="0" w:anchor="P58" w:tooltip="9. На граждан, указанных в подпункте &quot;а&quot; пункта 1 настоящих Особенностей, принявших решение о прохождении соответственно ГИА-9, ГИА-11 в форме промежуточной аттестации, а также на граждан, указанных в подпункте &quot;б&quot; пункта 1 настоящих Особенностей, Порядок ГИА-9, Порядок ГИА-11 не распространяются в части организации и проведения ГИА-9, ГИА-11 соответственно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Граждане, указанные в </w:t>
      </w:r>
      <w:hyperlink w:history="0" w:anchor="P58" w:tooltip="9. На граждан, указанных в подпункте &quot;а&quot; пункта 1 настоящих Особенностей, принявших решение о прохождении соответственно ГИА-9, ГИА-11 в форме промежуточной аттестации, а также на граждан, указанных в подпункте &quot;б&quot; пункта 1 настоящих Особенностей, Порядок ГИА-9, Порядок ГИА-11 не распространяются в части организации и проведения ГИА-9, ГИА-11 соответственно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годовых отметок обучающегося за каждый год обучения по указанной программе (при наличии).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230, Рособрнадзора N 515 от 13.04.2022</w:t>
            <w:br/>
            <w:t>"Об особенностях проведения государственной итогов...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885D1275EEF4D5C96D190F924D871D54D89B69367F0A1778869487AC515025257F7391D2162718FAF29F3AF8B182673BFE7482E5BE81EDGBICI" TargetMode = "External"/>
	<Relationship Id="rId8" Type="http://schemas.openxmlformats.org/officeDocument/2006/relationships/hyperlink" Target="consultantplus://offline/ref=9E885D1275EEF4D5C96D190F924D871D54D8916F3B7C0A1778869487AC515025257F7392D6132C4CADBD9E66BDE0916638FE7685F9GBIEI" TargetMode = "External"/>
	<Relationship Id="rId9" Type="http://schemas.openxmlformats.org/officeDocument/2006/relationships/hyperlink" Target="consultantplus://offline/ref=9E885D1275EEF4D5C96D190F924D871D54D89A64397C0A1778869487AC515025257F7391D2162719F9F29F3AF8B182673BFE7482E5BE81EDGBICI" TargetMode = "External"/>
	<Relationship Id="rId10" Type="http://schemas.openxmlformats.org/officeDocument/2006/relationships/hyperlink" Target="consultantplus://offline/ref=9E885D1275EEF4D5C96D190F924D871D54D89A64397C0A1778869487AC515025257F7391D21D7349B8ACC66AB8FA8F6121E27487GFI9I" TargetMode = "External"/>
	<Relationship Id="rId11" Type="http://schemas.openxmlformats.org/officeDocument/2006/relationships/hyperlink" Target="consultantplus://offline/ref=9E885D1275EEF4D5C96D190F924D871D54D89A64397C0A1778869487AC515025257F7391D216271CFBF29F3AF8B182673BFE7482E5BE81EDGBICI" TargetMode = "External"/>
	<Relationship Id="rId12" Type="http://schemas.openxmlformats.org/officeDocument/2006/relationships/hyperlink" Target="consultantplus://offline/ref=9E885D1275EEF4D5C96D190F924D871D54D99D6E367D0A1778869487AC515025257F7391D216261CFEF29F3AF8B182673BFE7482E5BE81EDGBICI" TargetMode = "External"/>
	<Relationship Id="rId13" Type="http://schemas.openxmlformats.org/officeDocument/2006/relationships/hyperlink" Target="consultantplus://offline/ref=9E885D1275EEF4D5C96D190F924D871D54D99D6E367D0A1778869487AC515025257F7392D942765CA9F4CA6FA2E488783DE076G8I7I" TargetMode = "External"/>
	<Relationship Id="rId14" Type="http://schemas.openxmlformats.org/officeDocument/2006/relationships/hyperlink" Target="consultantplus://offline/ref=9E885D1275EEF4D5C96D190F924D871D54D99D6E367D0A1778869487AC515025257F7393D942765CA9F4CA6FA2E488783DE076G8I7I" TargetMode = "External"/>
	<Relationship Id="rId15" Type="http://schemas.openxmlformats.org/officeDocument/2006/relationships/hyperlink" Target="consultantplus://offline/ref=9E885D1275EEF4D5C96D190F924D871D53D89B6F3E7F0A1778869487AC515025257F7391D216271BF8F29F3AF8B182673BFE7482E5BE81EDGBICI" TargetMode = "External"/>
	<Relationship Id="rId16" Type="http://schemas.openxmlformats.org/officeDocument/2006/relationships/hyperlink" Target="consultantplus://offline/ref=9E885D1275EEF4D5C96D190F924D871D53D89B6F3E7C0A1778869487AC515025257F7391D216271BF5F29F3AF8B182673BFE7482E5BE81EDGBICI" TargetMode = "External"/>
	<Relationship Id="rId17" Type="http://schemas.openxmlformats.org/officeDocument/2006/relationships/hyperlink" Target="consultantplus://offline/ref=9E885D1275EEF4D5C96D190F924D871D53D89B6F3E7F0A1778869487AC515025257F7391D216271BF8F29F3AF8B182673BFE7482E5BE81EDGBICI" TargetMode = "External"/>
	<Relationship Id="rId18" Type="http://schemas.openxmlformats.org/officeDocument/2006/relationships/hyperlink" Target="consultantplus://offline/ref=9E885D1275EEF4D5C96D190F924D871D53D89B6F3E7C0A1778869487AC515025257F7391D216271BF5F29F3AF8B182673BFE7482E5BE81EDGBICI" TargetMode = "External"/>
	<Relationship Id="rId19" Type="http://schemas.openxmlformats.org/officeDocument/2006/relationships/hyperlink" Target="consultantplus://offline/ref=9E885D1275EEF4D5C96D190F924D871D53D89B6F3E7F0A1778869487AC515025257F7391D216271AFDF29F3AF8B182673BFE7482E5BE81EDGBICI" TargetMode = "External"/>
	<Relationship Id="rId20" Type="http://schemas.openxmlformats.org/officeDocument/2006/relationships/hyperlink" Target="consultantplus://offline/ref=9E885D1275EEF4D5C96D190F924D871D53D89B6F3E7C0A1778869487AC515025257F7391D216271AFFF29F3AF8B182673BFE7482E5BE81EDGBICI" TargetMode = "External"/>
	<Relationship Id="rId21" Type="http://schemas.openxmlformats.org/officeDocument/2006/relationships/hyperlink" Target="consultantplus://offline/ref=9E885D1275EEF4D5C96D190F924D871D53D89B6F3E7F0A1778869487AC515025257F7391D216271BF8F29F3AF8B182673BFE7482E5BE81EDGBICI" TargetMode = "External"/>
	<Relationship Id="rId22" Type="http://schemas.openxmlformats.org/officeDocument/2006/relationships/hyperlink" Target="consultantplus://offline/ref=9E885D1275EEF4D5C96D190F924D871D53D89B6F3E7C0A1778869487AC515025257F7391D216271BF5F29F3AF8B182673BFE7482E5BE81EDGBICI" TargetMode = "External"/>
	<Relationship Id="rId23" Type="http://schemas.openxmlformats.org/officeDocument/2006/relationships/hyperlink" Target="consultantplus://offline/ref=9E885D1275EEF4D5C96D190F924D871D53D89B6F3E7F0A1778869487AC515025257F7391D216271DFAF29F3AF8B182673BFE7482E5BE81EDGBICI" TargetMode = "External"/>
	<Relationship Id="rId24" Type="http://schemas.openxmlformats.org/officeDocument/2006/relationships/hyperlink" Target="consultantplus://offline/ref=9E885D1275EEF4D5C96D190F924D871D53D89B6F3E7C0A1778869487AC515025257F7391D216271EF9F29F3AF8B182673BFE7482E5BE81EDGBICI" TargetMode = "External"/>
	<Relationship Id="rId25" Type="http://schemas.openxmlformats.org/officeDocument/2006/relationships/hyperlink" Target="consultantplus://offline/ref=9E885D1275EEF4D5C96D190F924D871D53D89B6F3E7F0A1778869487AC515025257F7391D216271AFDF29F3AF8B182673BFE7482E5BE81EDGBICI" TargetMode = "External"/>
	<Relationship Id="rId26" Type="http://schemas.openxmlformats.org/officeDocument/2006/relationships/hyperlink" Target="consultantplus://offline/ref=9E885D1275EEF4D5C96D190F924D871D53D89B6F3E7C0A1778869487AC515025257F7391D216271AFFF29F3AF8B182673BFE7482E5BE81EDGBI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230, Рособрнадзора N 515 от 13.04.2022
"Об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году"
(Зарегистрировано в Минюсте России 11.05.2022 N 68452)</dc:title>
  <dcterms:created xsi:type="dcterms:W3CDTF">2022-07-14T08:08:06Z</dcterms:created>
</cp:coreProperties>
</file>